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7DA16" w14:textId="77147876" w:rsidR="00A42AF2" w:rsidRPr="00A42AF2" w:rsidRDefault="00A42AF2" w:rsidP="00ED0955">
      <w:pPr>
        <w:jc w:val="both"/>
        <w:rPr>
          <w:b/>
          <w:bCs/>
        </w:rPr>
      </w:pPr>
      <w:r w:rsidRPr="00A42AF2">
        <w:rPr>
          <w:b/>
          <w:bCs/>
        </w:rPr>
        <w:t>Hogyan befolyásolják a társadalmi csoportok közti nem-kognitív képesség különbségek az oktatási egyenlőtlenségeket - egy feltáró vizsgálat</w:t>
      </w:r>
    </w:p>
    <w:p w14:paraId="74A22F3E" w14:textId="0989EBCD" w:rsidR="00FC7886" w:rsidRPr="00E939BA" w:rsidRDefault="00E06F5D" w:rsidP="00ED0955">
      <w:pPr>
        <w:jc w:val="both"/>
      </w:pPr>
      <w:r w:rsidRPr="00E939BA">
        <w:t xml:space="preserve">2018 márciusa és 2020 márciusa között </w:t>
      </w:r>
      <w:r w:rsidR="00254FF4" w:rsidRPr="00E939BA">
        <w:t>10 magyar középiskola 71 osztályába látogattunk el, hogy ösztönzött kísérletekkel mérjük fel összesen 127</w:t>
      </w:r>
      <w:r w:rsidR="00101AE2">
        <w:t>6</w:t>
      </w:r>
      <w:r w:rsidR="00254FF4" w:rsidRPr="00E939BA">
        <w:t xml:space="preserve"> diák idő-, kockázati-, társas- és versengési preferenciáit (vagyis az úgynevezett nem-kognitív képességeiket).</w:t>
      </w:r>
      <w:r w:rsidR="005B549D" w:rsidRPr="00E939BA">
        <w:t xml:space="preserve"> Kutatásunk során azt vizsgáljuk, hogy </w:t>
      </w:r>
      <w:r w:rsidR="004A3808" w:rsidRPr="00E939BA">
        <w:t>ezek a különböző preferenciák hogyan függnek össze a diákok iskolai teljesítményével egyéni, illetve csoportszinten. Fontos kérdés az is, hogy ezek az összefüggések mennyire függnek a diákok szociális helyzetétől, nemétől, illetve egyéb tulajdonságaitól.</w:t>
      </w:r>
    </w:p>
    <w:p w14:paraId="2CE956C2" w14:textId="4579ACBB" w:rsidR="006E181F" w:rsidRDefault="006E181F" w:rsidP="00ED0955">
      <w:pPr>
        <w:jc w:val="both"/>
      </w:pPr>
      <w:r w:rsidRPr="00E939BA">
        <w:t xml:space="preserve">Az időpreferenciák </w:t>
      </w:r>
      <w:r w:rsidR="00647BD0" w:rsidRPr="00E939BA">
        <w:t>feltérképezésére</w:t>
      </w:r>
      <w:r w:rsidRPr="00E939BA">
        <w:t xml:space="preserve"> egy többlépcsős játékot alkalmaztunk (Falk és mtsai. 2018), mellyel </w:t>
      </w:r>
      <w:r w:rsidR="00647BD0" w:rsidRPr="00E939BA">
        <w:t xml:space="preserve">azt tudtuk mérni, hogy </w:t>
      </w:r>
      <w:r w:rsidRPr="00E939BA">
        <w:t xml:space="preserve">a résztvevők </w:t>
      </w:r>
      <w:r w:rsidR="00647BD0" w:rsidRPr="00E939BA">
        <w:t>mennyire diszkontálják a jövőbeli kifizetéseket (mennyire türelmesek), illetve, hogy mennyire jelen-torzítottak</w:t>
      </w:r>
      <w:r w:rsidRPr="00E939BA">
        <w:t xml:space="preserve"> (Laibson 1997). </w:t>
      </w:r>
      <w:r w:rsidR="00647BD0" w:rsidRPr="00E939BA">
        <w:t xml:space="preserve">A kockázati preferenciákat </w:t>
      </w:r>
      <w:r w:rsidR="00E939BA" w:rsidRPr="00E939BA">
        <w:t>Crosetto és Filippin (2013) bombás játékával mértük</w:t>
      </w:r>
      <w:r w:rsidR="00E939BA">
        <w:t xml:space="preserve"> (</w:t>
      </w:r>
      <w:r w:rsidR="00E939BA" w:rsidRPr="00E939BA">
        <w:rPr>
          <w:i/>
          <w:iCs/>
        </w:rPr>
        <w:t>bomb-risk elicitation task</w:t>
      </w:r>
      <w:r w:rsidR="00E939BA">
        <w:t>). A versengési hajlandóság vizsgálatára egy gender-semleges</w:t>
      </w:r>
      <w:r w:rsidR="0083445A">
        <w:t>, egyszerű erőfeszítést kívánó feladatot</w:t>
      </w:r>
      <w:r w:rsidR="00E939BA">
        <w:t xml:space="preserve"> </w:t>
      </w:r>
      <w:r w:rsidR="0083445A">
        <w:t xml:space="preserve">használtunk </w:t>
      </w:r>
      <w:r w:rsidR="0083445A" w:rsidRPr="0083445A">
        <w:rPr>
          <w:i/>
          <w:iCs/>
        </w:rPr>
        <w:t>(</w:t>
      </w:r>
      <w:r w:rsidR="00E939BA" w:rsidRPr="0083445A">
        <w:rPr>
          <w:i/>
          <w:iCs/>
        </w:rPr>
        <w:t>real effort task</w:t>
      </w:r>
      <w:r w:rsidR="0083445A">
        <w:rPr>
          <w:i/>
          <w:iCs/>
        </w:rPr>
        <w:t xml:space="preserve">, </w:t>
      </w:r>
      <w:r w:rsidR="0083445A">
        <w:t xml:space="preserve">jelen esetben </w:t>
      </w:r>
      <w:r w:rsidR="00E939BA">
        <w:t>nullák összeszámolása) egy háromkörös versenyjáték keretei között (</w:t>
      </w:r>
      <w:r w:rsidR="00E939BA" w:rsidRPr="00E939BA">
        <w:t xml:space="preserve">Niederle </w:t>
      </w:r>
      <w:r w:rsidR="00E939BA">
        <w:t>és</w:t>
      </w:r>
      <w:r w:rsidR="00E939BA" w:rsidRPr="00E939BA">
        <w:t xml:space="preserve"> Vesterlund 2007).</w:t>
      </w:r>
      <w:r w:rsidR="00E939BA">
        <w:t xml:space="preserve"> A társas preferenciákat három különböző feladattal mértük: diktátorjátékkal, bizalomjátékkal illetve egy egyszerű közjószágjátékkal. A kísérleteket az iskolák büféjében beváltható étkezési utalványok</w:t>
      </w:r>
      <w:r w:rsidR="000C501A">
        <w:t>kal ösztönöztük.</w:t>
      </w:r>
    </w:p>
    <w:p w14:paraId="4C6E6364" w14:textId="52244674" w:rsidR="00C14568" w:rsidRDefault="00C14568" w:rsidP="00ED0955">
      <w:pPr>
        <w:jc w:val="both"/>
      </w:pPr>
      <w:r>
        <w:t>A kísérletek anonimak voltak, de az Oktatási Hivatal által biztosított kompetenciamérési azonosítók segítségével minden általunk gyűjtött adatot össze lehet kötni az Országos Kompetenciamérés</w:t>
      </w:r>
      <w:r w:rsidR="00967F4D">
        <w:t xml:space="preserve"> (OKM)</w:t>
      </w:r>
      <w:r>
        <w:t xml:space="preserve"> egyéni </w:t>
      </w:r>
      <w:r w:rsidR="00967F4D">
        <w:t xml:space="preserve">adataival. Az OKM adatok segítségével </w:t>
      </w:r>
      <w:r w:rsidR="00112671">
        <w:t>rálátásunk nyílik arra</w:t>
      </w:r>
      <w:r w:rsidR="00967F4D">
        <w:t>, hogy az egyes preferenciák hogyan függnek össze az iskolai eredményekkel, a továbbtanulási aspirációkkal, illetve egyes iskolai jellemzőkkel (osztály típusa, tanterve, iskola helye, stb), továbbá fontos anonim információkhoz férünk hozzá a résztvevők családi hátterével kapcsolatban is</w:t>
      </w:r>
      <w:r w:rsidR="00112671">
        <w:t>. A diákok részletes preferenciatérképének és az előbb felsorolt háttérváltozóknak a birtokában számos kutatási kérdés vizsgálatára lehetőség nyílik. Például, hogy hogyan alakulnak a preferenciák iskolán belül és iskolák között; hogy</w:t>
      </w:r>
      <w:r w:rsidR="00194CFA">
        <w:t>an</w:t>
      </w:r>
      <w:r w:rsidR="00112671">
        <w:t xml:space="preserve"> függ össze a családi háttér a preferenciák megoszlásával; hogy</w:t>
      </w:r>
      <w:r w:rsidR="00194CFA">
        <w:t>an</w:t>
      </w:r>
      <w:r w:rsidR="00112671">
        <w:t xml:space="preserve"> függ össze a korábbi iskolai teljesítmény a jelenlegi preferenciákkal, illetve</w:t>
      </w:r>
      <w:r w:rsidR="00194CFA">
        <w:t xml:space="preserve">, hogy játszik-e valamilyen közvetítőszerepet a </w:t>
      </w:r>
      <w:r w:rsidR="00112671">
        <w:t xml:space="preserve">családi háttér a korábbi teljesítmény és a jelenlegi preferenciák </w:t>
      </w:r>
      <w:r w:rsidR="00194CFA">
        <w:t>közt</w:t>
      </w:r>
      <w:r w:rsidR="00112671">
        <w:t xml:space="preserve">. Mivel </w:t>
      </w:r>
      <w:r w:rsidR="00194CFA">
        <w:t xml:space="preserve">osztályszintű adataink vannak, ezért azt is vizsgálni tudjuk, hogy az átlagosan erősebb társas preferenciákkal rendelkező osztályok jobban teljesítenek-e az iskolában. </w:t>
      </w:r>
      <w:r w:rsidR="00194CFA" w:rsidRPr="00194CFA">
        <w:t>Vagyis</w:t>
      </w:r>
      <w:r w:rsidR="00194CFA">
        <w:t>, jobban tanulnak-e</w:t>
      </w:r>
      <w:r w:rsidR="00194CFA" w:rsidRPr="00194CFA">
        <w:t xml:space="preserve"> azok az osztályok, ahol a diákok nagylelk</w:t>
      </w:r>
      <w:r w:rsidR="00194CFA">
        <w:t>ű</w:t>
      </w:r>
      <w:r w:rsidR="00194CFA" w:rsidRPr="00194CFA">
        <w:t xml:space="preserve">bbek, </w:t>
      </w:r>
      <w:r w:rsidR="00194CFA">
        <w:t>együttműködőbbek</w:t>
      </w:r>
      <w:r w:rsidR="00194CFA" w:rsidRPr="00194CFA">
        <w:t xml:space="preserve"> és </w:t>
      </w:r>
      <w:r w:rsidR="00194CFA">
        <w:t>jobban megbíznak egymásban</w:t>
      </w:r>
      <w:r w:rsidR="00194CFA" w:rsidRPr="00194CFA">
        <w:t>?</w:t>
      </w:r>
    </w:p>
    <w:p w14:paraId="54AFA782" w14:textId="169B7F33" w:rsidR="00194CFA" w:rsidRDefault="00194CFA" w:rsidP="00ED0955">
      <w:pPr>
        <w:jc w:val="both"/>
      </w:pPr>
      <w:bookmarkStart w:id="0" w:name="_Hlk44694683"/>
      <w:r>
        <w:t>Néhány adat a résztvevőkről:</w:t>
      </w:r>
    </w:p>
    <w:p w14:paraId="5C53FAF0" w14:textId="51E2BAD9" w:rsidR="00101AE2" w:rsidRDefault="00101AE2" w:rsidP="00ED0955">
      <w:pPr>
        <w:pStyle w:val="Listaszerbekezds"/>
        <w:numPr>
          <w:ilvl w:val="0"/>
          <w:numId w:val="1"/>
        </w:numPr>
        <w:jc w:val="both"/>
      </w:pPr>
      <w:r>
        <w:t>10 iskola:</w:t>
      </w:r>
    </w:p>
    <w:p w14:paraId="6E71EBB7" w14:textId="5A94D208" w:rsidR="00101AE2" w:rsidRDefault="00101AE2" w:rsidP="00ED0955">
      <w:pPr>
        <w:pStyle w:val="Listaszerbekezds"/>
        <w:numPr>
          <w:ilvl w:val="1"/>
          <w:numId w:val="1"/>
        </w:numPr>
        <w:jc w:val="both"/>
      </w:pPr>
      <w:r>
        <w:t>5 budapesti és 5 vidéki kisvárosi iskola</w:t>
      </w:r>
    </w:p>
    <w:p w14:paraId="1A4A5D57" w14:textId="0864CDF6" w:rsidR="00101AE2" w:rsidRDefault="00101AE2" w:rsidP="00ED0955">
      <w:pPr>
        <w:pStyle w:val="Listaszerbekezds"/>
        <w:numPr>
          <w:ilvl w:val="1"/>
          <w:numId w:val="1"/>
        </w:numPr>
        <w:jc w:val="both"/>
      </w:pPr>
      <w:r>
        <w:t>7-ben csak gimnáziumi osztályok, 3-ban szakgimnáziumi osztályok is részt vettek</w:t>
      </w:r>
    </w:p>
    <w:p w14:paraId="5C3960A7" w14:textId="56A64B64" w:rsidR="00101AE2" w:rsidRDefault="00101AE2" w:rsidP="00ED0955">
      <w:pPr>
        <w:pStyle w:val="Listaszerbekezds"/>
        <w:numPr>
          <w:ilvl w:val="0"/>
          <w:numId w:val="1"/>
        </w:numPr>
        <w:jc w:val="both"/>
      </w:pPr>
      <w:r>
        <w:t>71 osztály:</w:t>
      </w:r>
    </w:p>
    <w:p w14:paraId="552EE367" w14:textId="1975EE08" w:rsidR="00194CFA" w:rsidRDefault="00101AE2" w:rsidP="00ED0955">
      <w:pPr>
        <w:pStyle w:val="Listaszerbekezds"/>
        <w:numPr>
          <w:ilvl w:val="1"/>
          <w:numId w:val="1"/>
        </w:numPr>
        <w:jc w:val="both"/>
      </w:pPr>
      <w:r>
        <w:t>62 gimnáziumi és 9 szakgimnáziumi osztály</w:t>
      </w:r>
    </w:p>
    <w:p w14:paraId="778409EB" w14:textId="3163E65B" w:rsidR="00101AE2" w:rsidRDefault="00101AE2" w:rsidP="00ED0955">
      <w:pPr>
        <w:pStyle w:val="Listaszerbekezds"/>
        <w:numPr>
          <w:ilvl w:val="0"/>
          <w:numId w:val="1"/>
        </w:numPr>
        <w:jc w:val="both"/>
      </w:pPr>
      <w:r>
        <w:t>1276 diák:</w:t>
      </w:r>
    </w:p>
    <w:p w14:paraId="0503FA35" w14:textId="03B14C15" w:rsidR="00101AE2" w:rsidRDefault="00101AE2" w:rsidP="00ED0955">
      <w:pPr>
        <w:pStyle w:val="Listaszerbekezds"/>
        <w:numPr>
          <w:ilvl w:val="1"/>
          <w:numId w:val="1"/>
        </w:numPr>
        <w:jc w:val="both"/>
      </w:pPr>
      <w:r w:rsidRPr="00101AE2">
        <w:t>8</w:t>
      </w:r>
      <w:r w:rsidR="000B343B">
        <w:t>. osztály</w:t>
      </w:r>
      <w:r w:rsidRPr="00101AE2">
        <w:t xml:space="preserve">: 41 </w:t>
      </w:r>
      <w:r w:rsidR="000B343B">
        <w:t>diák</w:t>
      </w:r>
      <w:r w:rsidRPr="00101AE2">
        <w:t>; 9</w:t>
      </w:r>
      <w:r w:rsidR="000B343B">
        <w:t>. osztály</w:t>
      </w:r>
      <w:r w:rsidRPr="00101AE2">
        <w:t xml:space="preserve">: 418 </w:t>
      </w:r>
      <w:r w:rsidR="000B343B">
        <w:t>diák</w:t>
      </w:r>
      <w:r w:rsidRPr="00101AE2">
        <w:t>; 10</w:t>
      </w:r>
      <w:r w:rsidR="000B343B">
        <w:t>. osztály</w:t>
      </w:r>
      <w:r w:rsidRPr="00101AE2">
        <w:t xml:space="preserve">: 385 </w:t>
      </w:r>
      <w:r w:rsidR="000B343B">
        <w:t>diák</w:t>
      </w:r>
      <w:r w:rsidRPr="00101AE2">
        <w:t>; 11</w:t>
      </w:r>
      <w:r w:rsidR="000B343B">
        <w:t>. osztály</w:t>
      </w:r>
      <w:r w:rsidRPr="00101AE2">
        <w:t xml:space="preserve">: 336 </w:t>
      </w:r>
      <w:r w:rsidR="000B343B">
        <w:t>diák</w:t>
      </w:r>
      <w:r w:rsidRPr="00101AE2">
        <w:t>; 12</w:t>
      </w:r>
      <w:r w:rsidR="000B343B">
        <w:t>. osztály</w:t>
      </w:r>
      <w:r w:rsidRPr="00101AE2">
        <w:t xml:space="preserve">: 96 </w:t>
      </w:r>
      <w:r w:rsidR="000B343B">
        <w:t>diák</w:t>
      </w:r>
    </w:p>
    <w:bookmarkEnd w:id="0"/>
    <w:p w14:paraId="06C929B6" w14:textId="64468C02" w:rsidR="00F257F5" w:rsidRDefault="003E35D5" w:rsidP="00ED0955">
      <w:pPr>
        <w:jc w:val="both"/>
      </w:pPr>
      <w:r>
        <w:t xml:space="preserve">A kutatási projektet a </w:t>
      </w:r>
      <w:r w:rsidRPr="003E35D5">
        <w:t>Nemzeti Kutatási, Fejlesztési és Innovációs Hivatal</w:t>
      </w:r>
      <w:r>
        <w:t xml:space="preserve"> támogatja (projektszám: </w:t>
      </w:r>
      <w:r w:rsidRPr="00D23FD2">
        <w:t>124396</w:t>
      </w:r>
      <w:r>
        <w:t xml:space="preserve">). A kísérletek magyarul folytak. Az adatvédelmi tájékoztató itt található: </w:t>
      </w:r>
      <w:hyperlink r:id="rId5" w:history="1">
        <w:r w:rsidRPr="003E35D5">
          <w:rPr>
            <w:rStyle w:val="Hiperhivatkozs"/>
          </w:rPr>
          <w:t>https://www.mtakti.hu/kapcsolat/altalanos-tajekoztato-a-kiserletekrol/</w:t>
        </w:r>
      </w:hyperlink>
      <w:r w:rsidRPr="003E35D5">
        <w:t>.</w:t>
      </w:r>
    </w:p>
    <w:p w14:paraId="017618AC" w14:textId="77777777" w:rsidR="000B343B" w:rsidRDefault="000B343B" w:rsidP="00ED0955">
      <w:pPr>
        <w:jc w:val="both"/>
      </w:pPr>
    </w:p>
    <w:p w14:paraId="4D20957D" w14:textId="77777777" w:rsidR="003262DF" w:rsidRPr="00A42AF2" w:rsidRDefault="003262DF" w:rsidP="00ED0955">
      <w:pPr>
        <w:jc w:val="both"/>
        <w:rPr>
          <w:b/>
          <w:bCs/>
        </w:rPr>
      </w:pPr>
      <w:r w:rsidRPr="00A42AF2">
        <w:rPr>
          <w:b/>
          <w:bCs/>
        </w:rPr>
        <w:lastRenderedPageBreak/>
        <w:t xml:space="preserve">Dokumentáció a kísérletekről (részletes módszertan, leíró statisztikák, eredmények előzetes összehasonlítása a szakirodalommal): </w:t>
      </w:r>
    </w:p>
    <w:p w14:paraId="7613B2A6" w14:textId="77777777" w:rsidR="003262DF" w:rsidRPr="00D23FD2" w:rsidRDefault="003262DF" w:rsidP="00ED0955">
      <w:pPr>
        <w:jc w:val="both"/>
        <w:rPr>
          <w:lang w:val="en-GB"/>
        </w:rPr>
      </w:pPr>
      <w:bookmarkStart w:id="1" w:name="_GoBack"/>
      <w:r w:rsidRPr="00D23FD2">
        <w:rPr>
          <w:lang w:val="en-GB"/>
        </w:rPr>
        <w:t>Horn, D., Kiss, H. J., &amp; Lénárd, T</w:t>
      </w:r>
      <w:bookmarkEnd w:id="1"/>
      <w:r w:rsidRPr="00D23FD2">
        <w:rPr>
          <w:lang w:val="en-GB"/>
        </w:rPr>
        <w:t xml:space="preserve">. (2020). Economic Preferences in the Classroom – Research Documentation. </w:t>
      </w:r>
      <w:r w:rsidRPr="00D23FD2">
        <w:rPr>
          <w:i/>
          <w:iCs/>
          <w:lang w:val="en-GB"/>
        </w:rPr>
        <w:t>SSRN Electronic Journal</w:t>
      </w:r>
      <w:r w:rsidRPr="00D23FD2">
        <w:rPr>
          <w:lang w:val="en-GB"/>
        </w:rPr>
        <w:t xml:space="preserve">. </w:t>
      </w:r>
      <w:hyperlink r:id="rId6" w:history="1">
        <w:r w:rsidRPr="00D23FD2">
          <w:rPr>
            <w:rStyle w:val="Hiperhivatkozs"/>
            <w:lang w:val="en-GB"/>
          </w:rPr>
          <w:t>https://doi.org/10.2139/ssrn.3615292</w:t>
        </w:r>
      </w:hyperlink>
    </w:p>
    <w:p w14:paraId="568DC297" w14:textId="4A7135DF" w:rsidR="003262DF" w:rsidRDefault="003262DF" w:rsidP="00ED0955">
      <w:pPr>
        <w:jc w:val="both"/>
      </w:pPr>
    </w:p>
    <w:p w14:paraId="6CE0D94D" w14:textId="259778F2" w:rsidR="00A42AF2" w:rsidRPr="00795822" w:rsidRDefault="00A42AF2" w:rsidP="00ED0955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Hivatkozott szakirodalom</w:t>
      </w:r>
      <w:r w:rsidRPr="00795822">
        <w:rPr>
          <w:b/>
          <w:bCs/>
          <w:lang w:val="en-GB"/>
        </w:rPr>
        <w:t>:</w:t>
      </w:r>
    </w:p>
    <w:p w14:paraId="08FD5BBB" w14:textId="77777777" w:rsidR="00A42AF2" w:rsidRPr="00795822" w:rsidRDefault="00A42AF2" w:rsidP="00ED0955">
      <w:pPr>
        <w:jc w:val="both"/>
        <w:rPr>
          <w:lang w:val="en-GB"/>
        </w:rPr>
      </w:pPr>
      <w:r w:rsidRPr="00795822">
        <w:rPr>
          <w:lang w:val="en-GB"/>
        </w:rPr>
        <w:t xml:space="preserve">Crosetto, P., &amp; Filippin, A. (2013). The “bomb” risk elicitation task. </w:t>
      </w:r>
      <w:r w:rsidRPr="00795822">
        <w:rPr>
          <w:i/>
          <w:iCs/>
          <w:lang w:val="en-GB"/>
        </w:rPr>
        <w:t>Journal of Risk and Uncertainty</w:t>
      </w:r>
      <w:r w:rsidRPr="00795822">
        <w:rPr>
          <w:lang w:val="en-GB"/>
        </w:rPr>
        <w:t xml:space="preserve">, </w:t>
      </w:r>
      <w:r w:rsidRPr="00795822">
        <w:rPr>
          <w:i/>
          <w:iCs/>
          <w:lang w:val="en-GB"/>
        </w:rPr>
        <w:t>47</w:t>
      </w:r>
      <w:r w:rsidRPr="00795822">
        <w:rPr>
          <w:lang w:val="en-GB"/>
        </w:rPr>
        <w:t xml:space="preserve">(1), 31–65. </w:t>
      </w:r>
      <w:hyperlink r:id="rId7" w:history="1">
        <w:r w:rsidRPr="00795822">
          <w:rPr>
            <w:rStyle w:val="Hiperhivatkozs"/>
            <w:lang w:val="en-GB"/>
          </w:rPr>
          <w:t>https://doi.org/10.1007/s11166-013-9170-z</w:t>
        </w:r>
      </w:hyperlink>
    </w:p>
    <w:p w14:paraId="7AB4D90A" w14:textId="77777777" w:rsidR="00A42AF2" w:rsidRPr="00795822" w:rsidRDefault="00A42AF2" w:rsidP="00ED0955">
      <w:pPr>
        <w:jc w:val="both"/>
        <w:rPr>
          <w:lang w:val="en-GB"/>
        </w:rPr>
      </w:pPr>
      <w:r w:rsidRPr="00795822">
        <w:rPr>
          <w:lang w:val="en-GB"/>
        </w:rPr>
        <w:t xml:space="preserve">Falk, A., Becker, A., Dohmen, T., Enke, B., Huffman, D., &amp; Sunde, U. (2018). Global Evidence on Economic Preferences. </w:t>
      </w:r>
      <w:r w:rsidRPr="00795822">
        <w:rPr>
          <w:i/>
          <w:iCs/>
          <w:lang w:val="en-GB"/>
        </w:rPr>
        <w:t>The Quarterly Journal of Economics</w:t>
      </w:r>
      <w:r w:rsidRPr="00795822">
        <w:rPr>
          <w:lang w:val="en-GB"/>
        </w:rPr>
        <w:t xml:space="preserve">, </w:t>
      </w:r>
      <w:r w:rsidRPr="00795822">
        <w:rPr>
          <w:i/>
          <w:iCs/>
          <w:lang w:val="en-GB"/>
        </w:rPr>
        <w:t>133</w:t>
      </w:r>
      <w:r w:rsidRPr="00795822">
        <w:rPr>
          <w:lang w:val="en-GB"/>
        </w:rPr>
        <w:t xml:space="preserve">(4), 1645–1692. </w:t>
      </w:r>
      <w:hyperlink r:id="rId8" w:history="1">
        <w:r w:rsidRPr="00795822">
          <w:rPr>
            <w:rStyle w:val="Hiperhivatkozs"/>
            <w:lang w:val="en-GB"/>
          </w:rPr>
          <w:t>https://doi.org/10.1093/qje/qjy013</w:t>
        </w:r>
      </w:hyperlink>
    </w:p>
    <w:p w14:paraId="06F7591C" w14:textId="77777777" w:rsidR="00A42AF2" w:rsidRPr="00795822" w:rsidRDefault="00A42AF2" w:rsidP="00ED0955">
      <w:pPr>
        <w:jc w:val="both"/>
        <w:rPr>
          <w:lang w:val="en-GB"/>
        </w:rPr>
      </w:pPr>
      <w:r w:rsidRPr="00795822">
        <w:rPr>
          <w:lang w:val="en-GB"/>
        </w:rPr>
        <w:t xml:space="preserve">Laibson, D. (1997). Golden Eggs and Hyperbolic Discounting. </w:t>
      </w:r>
      <w:r w:rsidRPr="00795822">
        <w:rPr>
          <w:i/>
          <w:iCs/>
          <w:lang w:val="en-GB"/>
        </w:rPr>
        <w:t>The Quarterly Journal of Economics</w:t>
      </w:r>
      <w:r w:rsidRPr="00795822">
        <w:rPr>
          <w:lang w:val="en-GB"/>
        </w:rPr>
        <w:t xml:space="preserve">, </w:t>
      </w:r>
      <w:r w:rsidRPr="00795822">
        <w:rPr>
          <w:i/>
          <w:iCs/>
          <w:lang w:val="en-GB"/>
        </w:rPr>
        <w:t>112</w:t>
      </w:r>
      <w:r w:rsidRPr="00795822">
        <w:rPr>
          <w:lang w:val="en-GB"/>
        </w:rPr>
        <w:t xml:space="preserve">(2), 443–478. </w:t>
      </w:r>
      <w:hyperlink r:id="rId9" w:history="1">
        <w:r w:rsidRPr="00795822">
          <w:rPr>
            <w:rStyle w:val="Hiperhivatkozs"/>
            <w:lang w:val="en-GB"/>
          </w:rPr>
          <w:t>https://doi.org/10.1162/003355397555253</w:t>
        </w:r>
      </w:hyperlink>
    </w:p>
    <w:p w14:paraId="5A22400B" w14:textId="77777777" w:rsidR="00A42AF2" w:rsidRPr="00795822" w:rsidRDefault="00A42AF2" w:rsidP="00ED0955">
      <w:pPr>
        <w:jc w:val="both"/>
        <w:rPr>
          <w:lang w:val="en-GB"/>
        </w:rPr>
      </w:pPr>
      <w:r w:rsidRPr="00795822">
        <w:rPr>
          <w:lang w:val="en-GB"/>
        </w:rPr>
        <w:t xml:space="preserve">Niederle, M., &amp; Vesterlund, L. (2007). Do Women Shy Away From Competition? Do Men Compete Too Much? </w:t>
      </w:r>
      <w:r w:rsidRPr="00795822">
        <w:rPr>
          <w:i/>
          <w:iCs/>
          <w:lang w:val="en-GB"/>
        </w:rPr>
        <w:t>The Quarterly Journal of Economics</w:t>
      </w:r>
      <w:r w:rsidRPr="00795822">
        <w:rPr>
          <w:lang w:val="en-GB"/>
        </w:rPr>
        <w:t xml:space="preserve">, </w:t>
      </w:r>
      <w:r w:rsidRPr="00795822">
        <w:rPr>
          <w:i/>
          <w:iCs/>
          <w:lang w:val="en-GB"/>
        </w:rPr>
        <w:t>122</w:t>
      </w:r>
      <w:r w:rsidRPr="00795822">
        <w:rPr>
          <w:lang w:val="en-GB"/>
        </w:rPr>
        <w:t xml:space="preserve">(3), 1067–1101. </w:t>
      </w:r>
      <w:hyperlink r:id="rId10" w:history="1">
        <w:r w:rsidRPr="00795822">
          <w:rPr>
            <w:rStyle w:val="Hiperhivatkozs"/>
            <w:lang w:val="en-GB"/>
          </w:rPr>
          <w:t>https://doi.org/10.1162/qjec.122.3.1067</w:t>
        </w:r>
      </w:hyperlink>
    </w:p>
    <w:p w14:paraId="742C91C3" w14:textId="77777777" w:rsidR="00A42AF2" w:rsidRPr="00E939BA" w:rsidRDefault="00A42AF2" w:rsidP="00ED0955">
      <w:pPr>
        <w:jc w:val="both"/>
      </w:pPr>
    </w:p>
    <w:p w14:paraId="72E7324E" w14:textId="77777777" w:rsidR="004A3808" w:rsidRPr="00E939BA" w:rsidRDefault="004A3808" w:rsidP="00ED0955">
      <w:pPr>
        <w:jc w:val="both"/>
      </w:pPr>
    </w:p>
    <w:sectPr w:rsidR="004A3808" w:rsidRPr="00E93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93BDD"/>
    <w:multiLevelType w:val="hybridMultilevel"/>
    <w:tmpl w:val="30629232"/>
    <w:lvl w:ilvl="0" w:tplc="9048A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wMDY0NDY1NzAxsjBS0lEKTi0uzszPAykwqQUAX/60MywAAAA="/>
  </w:docVars>
  <w:rsids>
    <w:rsidRoot w:val="00264E0F"/>
    <w:rsid w:val="0004186E"/>
    <w:rsid w:val="000B343B"/>
    <w:rsid w:val="000C501A"/>
    <w:rsid w:val="00101AE2"/>
    <w:rsid w:val="00112671"/>
    <w:rsid w:val="00194CFA"/>
    <w:rsid w:val="00254FF4"/>
    <w:rsid w:val="00264E0F"/>
    <w:rsid w:val="0028035D"/>
    <w:rsid w:val="003262DF"/>
    <w:rsid w:val="003E35D5"/>
    <w:rsid w:val="004A3808"/>
    <w:rsid w:val="004A3DE5"/>
    <w:rsid w:val="005B549D"/>
    <w:rsid w:val="00647BD0"/>
    <w:rsid w:val="006E181F"/>
    <w:rsid w:val="007D404B"/>
    <w:rsid w:val="007E4702"/>
    <w:rsid w:val="0083445A"/>
    <w:rsid w:val="00967F4D"/>
    <w:rsid w:val="00A42AF2"/>
    <w:rsid w:val="00AA3C46"/>
    <w:rsid w:val="00C14568"/>
    <w:rsid w:val="00C83087"/>
    <w:rsid w:val="00E06F5D"/>
    <w:rsid w:val="00E53E38"/>
    <w:rsid w:val="00E939BA"/>
    <w:rsid w:val="00ED0955"/>
    <w:rsid w:val="00F13237"/>
    <w:rsid w:val="00F257F5"/>
    <w:rsid w:val="00FC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5899"/>
  <w15:chartTrackingRefBased/>
  <w15:docId w15:val="{AB793F70-CBAA-499A-8549-A9C28812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6F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C7886"/>
    <w:rPr>
      <w:color w:val="0000FF"/>
      <w:u w:val="single"/>
    </w:rPr>
  </w:style>
  <w:style w:type="paragraph" w:customStyle="1" w:styleId="basictext">
    <w:name w:val="basic text"/>
    <w:basedOn w:val="Norml"/>
    <w:qFormat/>
    <w:rsid w:val="00FC7886"/>
    <w:pPr>
      <w:spacing w:after="0" w:line="480" w:lineRule="auto"/>
      <w:ind w:firstLine="709"/>
      <w:jc w:val="both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53E38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E35D5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194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88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17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93/qje/qjy0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07/s11166-013-9170-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2139/ssrn.361529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takti.hu/kapcsolat/altalanos-tajekoztato-a-kiserletekrol/" TargetMode="External"/><Relationship Id="rId10" Type="http://schemas.openxmlformats.org/officeDocument/2006/relationships/hyperlink" Target="https://doi.org/10.1162/qjec.122.3.10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62/00335539755525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4249</Characters>
  <Application>Microsoft Office Word</Application>
  <DocSecurity>0</DocSecurity>
  <Lines>35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Tünde Lénárd</dc:creator>
  <cp:keywords/>
  <dc:description/>
  <cp:lastModifiedBy>Tir Melinda</cp:lastModifiedBy>
  <cp:revision>2</cp:revision>
  <dcterms:created xsi:type="dcterms:W3CDTF">2020-07-10T09:36:00Z</dcterms:created>
  <dcterms:modified xsi:type="dcterms:W3CDTF">2020-07-10T09:36:00Z</dcterms:modified>
</cp:coreProperties>
</file>