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81B7C" w14:textId="70560D04" w:rsidR="00795822" w:rsidRPr="00795822" w:rsidRDefault="00795822" w:rsidP="00215EC4">
      <w:pPr>
        <w:jc w:val="both"/>
        <w:rPr>
          <w:b/>
          <w:bCs/>
          <w:lang w:val="en-GB"/>
        </w:rPr>
      </w:pPr>
      <w:r w:rsidRPr="00795822">
        <w:rPr>
          <w:b/>
          <w:bCs/>
          <w:lang w:val="en-GB"/>
        </w:rPr>
        <w:t xml:space="preserve">How social gap in </w:t>
      </w:r>
      <w:bookmarkStart w:id="0" w:name="_GoBack"/>
      <w:r w:rsidRPr="00795822">
        <w:rPr>
          <w:b/>
          <w:bCs/>
          <w:lang w:val="en-GB"/>
        </w:rPr>
        <w:t xml:space="preserve">non-cognitive skills </w:t>
      </w:r>
      <w:bookmarkEnd w:id="0"/>
      <w:r w:rsidRPr="00795822">
        <w:rPr>
          <w:b/>
          <w:bCs/>
          <w:lang w:val="en-GB"/>
        </w:rPr>
        <w:t>predict inequalities in education – an exploratory study</w:t>
      </w:r>
    </w:p>
    <w:p w14:paraId="5941676A" w14:textId="616BC66D" w:rsidR="00132BF8" w:rsidRPr="00795822" w:rsidRDefault="00132BF8" w:rsidP="00215EC4">
      <w:pPr>
        <w:jc w:val="both"/>
        <w:rPr>
          <w:lang w:val="en-GB"/>
        </w:rPr>
      </w:pPr>
      <w:r w:rsidRPr="00795822">
        <w:rPr>
          <w:lang w:val="en-GB"/>
        </w:rPr>
        <w:t>Between March 2018 and March 2020, we visited 71 school groups (classes) in 10 Hungarian schools to measure time, risk, social and competitive preferences (the so-called non-cognitive skills) of 1276 secondary school students using incentivized laboratory experimental tasks. Our research aims to look at how the different preferences associate with school performance on the individual as well as on the group level, and also to see whether there is any heterogeneity (gender and social status) in these associations.</w:t>
      </w:r>
    </w:p>
    <w:p w14:paraId="3D293B0E" w14:textId="312EFFE5" w:rsidR="00132BF8" w:rsidRPr="00795822" w:rsidRDefault="00132BF8" w:rsidP="00215EC4">
      <w:pPr>
        <w:jc w:val="both"/>
        <w:rPr>
          <w:lang w:val="en-GB"/>
        </w:rPr>
      </w:pPr>
      <w:r w:rsidRPr="00795822">
        <w:rPr>
          <w:lang w:val="en-GB"/>
        </w:rPr>
        <w:t>Following Falk et al. (2018), we applied the staircase method to measure time preferences</w:t>
      </w:r>
      <w:r w:rsidR="00AD7CD0" w:rsidRPr="00795822">
        <w:rPr>
          <w:lang w:val="en-GB"/>
        </w:rPr>
        <w:t xml:space="preserve"> of students, e.g. patience (how much participants discount future payments), or present bias</w:t>
      </w:r>
      <w:r w:rsidRPr="00795822">
        <w:rPr>
          <w:lang w:val="en-GB"/>
        </w:rPr>
        <w:t xml:space="preserve"> (Laibson, 1997). To test risk preferences, we used the bob-risk elicitation task of Crosetto and Filippin (2013). For testing competitive preferences, we utilized a simple, gender-neutral, real effort task (counting zeros) and used the three-round measure of competition suggested by Niederle and Vesterlund (2007). We applied three different games to test social preferences: the dictator game, the trust game and a simple public good game. We gave out vouchers for the school buffet to incentivize the experiments. </w:t>
      </w:r>
    </w:p>
    <w:p w14:paraId="2C79EDAB" w14:textId="75412CC4" w:rsidR="00132BF8" w:rsidRPr="00795822" w:rsidRDefault="00132BF8" w:rsidP="00215EC4">
      <w:pPr>
        <w:jc w:val="both"/>
        <w:rPr>
          <w:lang w:val="en-GB"/>
        </w:rPr>
      </w:pPr>
      <w:r w:rsidRPr="00795822">
        <w:rPr>
          <w:lang w:val="en-GB"/>
        </w:rPr>
        <w:t xml:space="preserve">The experiments were anonymous, but </w:t>
      </w:r>
      <w:r w:rsidR="00A9353A" w:rsidRPr="00795822">
        <w:rPr>
          <w:lang w:val="en-GB"/>
        </w:rPr>
        <w:t xml:space="preserve">using the hash codes provided by the Education Authority, </w:t>
      </w:r>
      <w:r w:rsidRPr="00795822">
        <w:rPr>
          <w:lang w:val="en-GB"/>
        </w:rPr>
        <w:t>we can link the individual preferences with the individual data from the National Assessment of Basic Competences (NABC) which allows us to see how preferences relate to individual school performance, aspiration and other school characteristics (type of class, curriculum, location, etc.). It also provides us with useful information about the participants’ family background. With the detailed preference map of the students and the additional information on their family background and school performance, we want to study several research questions. For instance, we are interested in the distribution of preferences between and within schools, how family background associates with preferences, the association of past school performance and recent preferences, the mediating power of family between past school performance and preferences. Since we have school-class level data, we can also study if classes with better aggregated social preferences perform better academically. That is, do classes where students are more generous, cooperative and trusting exhibit better academic results?</w:t>
      </w:r>
    </w:p>
    <w:p w14:paraId="3C6D93E2" w14:textId="4A28CFE1" w:rsidR="005F4E61" w:rsidRPr="00795822" w:rsidRDefault="005F4E61" w:rsidP="00215EC4">
      <w:pPr>
        <w:jc w:val="both"/>
        <w:rPr>
          <w:lang w:val="en-GB"/>
        </w:rPr>
      </w:pPr>
      <w:r w:rsidRPr="00795822">
        <w:rPr>
          <w:lang w:val="en-GB"/>
        </w:rPr>
        <w:t>Some data</w:t>
      </w:r>
      <w:r w:rsidR="00BB2DB5" w:rsidRPr="00795822">
        <w:rPr>
          <w:lang w:val="en-GB"/>
        </w:rPr>
        <w:t xml:space="preserve"> on</w:t>
      </w:r>
      <w:r w:rsidR="00795822" w:rsidRPr="00795822">
        <w:rPr>
          <w:lang w:val="en-GB"/>
        </w:rPr>
        <w:t xml:space="preserve"> </w:t>
      </w:r>
      <w:r w:rsidR="00BB2DB5" w:rsidRPr="00795822">
        <w:rPr>
          <w:lang w:val="en-GB"/>
        </w:rPr>
        <w:t>the participants</w:t>
      </w:r>
      <w:r w:rsidRPr="00795822">
        <w:rPr>
          <w:lang w:val="en-GB"/>
        </w:rPr>
        <w:t>:</w:t>
      </w:r>
    </w:p>
    <w:p w14:paraId="52CF2502" w14:textId="66C38227" w:rsidR="005F4E61" w:rsidRPr="00795822" w:rsidRDefault="005F4E61" w:rsidP="00215EC4">
      <w:pPr>
        <w:pStyle w:val="Listaszerbekezds"/>
        <w:numPr>
          <w:ilvl w:val="0"/>
          <w:numId w:val="1"/>
        </w:numPr>
        <w:jc w:val="both"/>
        <w:rPr>
          <w:lang w:val="en-GB"/>
        </w:rPr>
      </w:pPr>
      <w:r w:rsidRPr="00795822">
        <w:rPr>
          <w:lang w:val="en-GB"/>
        </w:rPr>
        <w:t xml:space="preserve">10 </w:t>
      </w:r>
      <w:r w:rsidR="00BB2DB5" w:rsidRPr="00795822">
        <w:rPr>
          <w:lang w:val="en-GB"/>
        </w:rPr>
        <w:t>schools</w:t>
      </w:r>
      <w:r w:rsidRPr="00795822">
        <w:rPr>
          <w:lang w:val="en-GB"/>
        </w:rPr>
        <w:t>:</w:t>
      </w:r>
    </w:p>
    <w:p w14:paraId="6FCBAABF" w14:textId="7D7E7E50" w:rsidR="005F4E61" w:rsidRPr="00795822" w:rsidRDefault="005F4E61" w:rsidP="00215EC4">
      <w:pPr>
        <w:pStyle w:val="Listaszerbekezds"/>
        <w:numPr>
          <w:ilvl w:val="1"/>
          <w:numId w:val="1"/>
        </w:numPr>
        <w:jc w:val="both"/>
        <w:rPr>
          <w:lang w:val="en-GB"/>
        </w:rPr>
      </w:pPr>
      <w:r w:rsidRPr="00795822">
        <w:rPr>
          <w:lang w:val="en-GB"/>
        </w:rPr>
        <w:t xml:space="preserve">5 </w:t>
      </w:r>
      <w:r w:rsidR="00BB2DB5" w:rsidRPr="00795822">
        <w:rPr>
          <w:lang w:val="en-GB"/>
        </w:rPr>
        <w:t>in Budapest,</w:t>
      </w:r>
      <w:r w:rsidRPr="00795822">
        <w:rPr>
          <w:lang w:val="en-GB"/>
        </w:rPr>
        <w:t xml:space="preserve"> 5 </w:t>
      </w:r>
      <w:r w:rsidR="00BB2DB5" w:rsidRPr="00795822">
        <w:rPr>
          <w:lang w:val="en-GB"/>
        </w:rPr>
        <w:t>in smaller towns</w:t>
      </w:r>
    </w:p>
    <w:p w14:paraId="7362463D" w14:textId="0333618D" w:rsidR="005F4E61" w:rsidRPr="00795822" w:rsidRDefault="005F4E61" w:rsidP="00215EC4">
      <w:pPr>
        <w:pStyle w:val="Listaszerbekezds"/>
        <w:numPr>
          <w:ilvl w:val="1"/>
          <w:numId w:val="1"/>
        </w:numPr>
        <w:jc w:val="both"/>
        <w:rPr>
          <w:lang w:val="en-GB"/>
        </w:rPr>
      </w:pPr>
      <w:r w:rsidRPr="00795822">
        <w:rPr>
          <w:lang w:val="en-GB"/>
        </w:rPr>
        <w:t>7</w:t>
      </w:r>
      <w:r w:rsidR="00BB2DB5" w:rsidRPr="00795822">
        <w:rPr>
          <w:lang w:val="en-GB"/>
        </w:rPr>
        <w:t xml:space="preserve"> </w:t>
      </w:r>
      <w:r w:rsidR="00BB2DB5" w:rsidRPr="00795822">
        <w:rPr>
          <w:rFonts w:ascii="Calibri" w:hAnsi="Calibri" w:cs="Calibri"/>
          <w:color w:val="000000"/>
          <w:shd w:val="clear" w:color="auto" w:fill="FFFFFF"/>
          <w:lang w:val="en-GB"/>
        </w:rPr>
        <w:t>Academic Secondary Schools</w:t>
      </w:r>
      <w:r w:rsidRPr="00795822">
        <w:rPr>
          <w:lang w:val="en-GB"/>
        </w:rPr>
        <w:t>, 3</w:t>
      </w:r>
      <w:r w:rsidR="00BB2DB5" w:rsidRPr="00795822">
        <w:rPr>
          <w:lang w:val="en-GB"/>
        </w:rPr>
        <w:t xml:space="preserve"> </w:t>
      </w:r>
      <w:r w:rsidR="00BB2DB5" w:rsidRPr="00795822">
        <w:rPr>
          <w:rFonts w:ascii="Calibri" w:hAnsi="Calibri" w:cs="Calibri"/>
          <w:color w:val="000000"/>
          <w:shd w:val="clear" w:color="auto" w:fill="FFFFFF"/>
          <w:lang w:val="en-GB"/>
        </w:rPr>
        <w:t>Vocational Secondary Schools</w:t>
      </w:r>
    </w:p>
    <w:p w14:paraId="1C2D7EE2" w14:textId="590AEEAA" w:rsidR="005F4E61" w:rsidRPr="00795822" w:rsidRDefault="005F4E61" w:rsidP="00215EC4">
      <w:pPr>
        <w:pStyle w:val="Listaszerbekezds"/>
        <w:numPr>
          <w:ilvl w:val="0"/>
          <w:numId w:val="1"/>
        </w:numPr>
        <w:jc w:val="both"/>
        <w:rPr>
          <w:lang w:val="en-GB"/>
        </w:rPr>
      </w:pPr>
      <w:r w:rsidRPr="00795822">
        <w:rPr>
          <w:lang w:val="en-GB"/>
        </w:rPr>
        <w:t xml:space="preserve">71 </w:t>
      </w:r>
      <w:r w:rsidR="00BB2DB5" w:rsidRPr="00795822">
        <w:rPr>
          <w:lang w:val="en-GB"/>
        </w:rPr>
        <w:t>school groups (classes)</w:t>
      </w:r>
      <w:r w:rsidRPr="00795822">
        <w:rPr>
          <w:lang w:val="en-GB"/>
        </w:rPr>
        <w:t>:</w:t>
      </w:r>
    </w:p>
    <w:p w14:paraId="18696D29" w14:textId="580014FE" w:rsidR="005F4E61" w:rsidRPr="00795822" w:rsidRDefault="005F4E61" w:rsidP="00215EC4">
      <w:pPr>
        <w:pStyle w:val="Listaszerbekezds"/>
        <w:numPr>
          <w:ilvl w:val="1"/>
          <w:numId w:val="1"/>
        </w:numPr>
        <w:jc w:val="both"/>
        <w:rPr>
          <w:lang w:val="en-GB"/>
        </w:rPr>
      </w:pPr>
      <w:r w:rsidRPr="00795822">
        <w:rPr>
          <w:lang w:val="en-GB"/>
        </w:rPr>
        <w:t xml:space="preserve">62 </w:t>
      </w:r>
      <w:r w:rsidR="00BB2DB5" w:rsidRPr="00795822">
        <w:rPr>
          <w:lang w:val="en-GB"/>
        </w:rPr>
        <w:t>academic classes, 9 vocational classes</w:t>
      </w:r>
    </w:p>
    <w:p w14:paraId="1F8D7532" w14:textId="77777777" w:rsidR="005F4E61" w:rsidRPr="00795822" w:rsidRDefault="005F4E61" w:rsidP="00215EC4">
      <w:pPr>
        <w:pStyle w:val="Listaszerbekezds"/>
        <w:numPr>
          <w:ilvl w:val="0"/>
          <w:numId w:val="1"/>
        </w:numPr>
        <w:jc w:val="both"/>
        <w:rPr>
          <w:lang w:val="en-GB"/>
        </w:rPr>
      </w:pPr>
      <w:r w:rsidRPr="00795822">
        <w:rPr>
          <w:lang w:val="en-GB"/>
        </w:rPr>
        <w:t>1276 diák:</w:t>
      </w:r>
    </w:p>
    <w:p w14:paraId="10D5B497" w14:textId="77777777" w:rsidR="005F4E61" w:rsidRPr="00795822" w:rsidRDefault="005F4E61" w:rsidP="00215EC4">
      <w:pPr>
        <w:pStyle w:val="Listaszerbekezds"/>
        <w:numPr>
          <w:ilvl w:val="1"/>
          <w:numId w:val="1"/>
        </w:numPr>
        <w:jc w:val="both"/>
        <w:rPr>
          <w:lang w:val="en-GB"/>
        </w:rPr>
      </w:pPr>
      <w:r w:rsidRPr="00795822">
        <w:rPr>
          <w:lang w:val="en-GB"/>
        </w:rPr>
        <w:t>8th grade: 41 students; 9th grade: 418 students; 10th grade: 385 students; 11th grade: 336 students; 12th grade: 96 students</w:t>
      </w:r>
    </w:p>
    <w:p w14:paraId="29FE6550" w14:textId="5E3C99D3" w:rsidR="00241FC9" w:rsidRPr="00795822" w:rsidRDefault="00241FC9" w:rsidP="00215EC4">
      <w:pPr>
        <w:jc w:val="both"/>
        <w:rPr>
          <w:lang w:val="en-GB"/>
        </w:rPr>
      </w:pPr>
      <w:r w:rsidRPr="00795822">
        <w:rPr>
          <w:lang w:val="en-GB"/>
        </w:rPr>
        <w:t xml:space="preserve">The project has been funded by the National Research and Development Office of Hungary (project no. 124396). The experiments were run in Hungarian, and also the related legal documents are available in Hungarian here: </w:t>
      </w:r>
      <w:hyperlink r:id="rId5" w:history="1">
        <w:r w:rsidRPr="00795822">
          <w:rPr>
            <w:lang w:val="en-GB"/>
          </w:rPr>
          <w:t>https://www.mtakti.hu/kapcsolat/altalanos-tajekoztato-a-kiserletekrol/</w:t>
        </w:r>
      </w:hyperlink>
      <w:r w:rsidRPr="00795822">
        <w:rPr>
          <w:lang w:val="en-GB"/>
        </w:rPr>
        <w:t>.</w:t>
      </w:r>
    </w:p>
    <w:p w14:paraId="09E1797D" w14:textId="77777777" w:rsidR="00241FC9" w:rsidRPr="00795822" w:rsidRDefault="00241FC9" w:rsidP="00215EC4">
      <w:pPr>
        <w:jc w:val="both"/>
        <w:rPr>
          <w:lang w:val="en-GB"/>
        </w:rPr>
      </w:pPr>
    </w:p>
    <w:p w14:paraId="6DE77ACA" w14:textId="049B9C2F" w:rsidR="00132BF8" w:rsidRPr="00795822" w:rsidRDefault="00241FC9" w:rsidP="00215EC4">
      <w:pPr>
        <w:jc w:val="both"/>
        <w:rPr>
          <w:b/>
          <w:bCs/>
          <w:lang w:val="en-GB"/>
        </w:rPr>
      </w:pPr>
      <w:bookmarkStart w:id="1" w:name="_Hlk44689281"/>
      <w:r w:rsidRPr="00795822">
        <w:rPr>
          <w:b/>
          <w:bCs/>
          <w:lang w:val="en-GB"/>
        </w:rPr>
        <w:t>Research documentation</w:t>
      </w:r>
      <w:r w:rsidR="00132BF8" w:rsidRPr="00795822">
        <w:rPr>
          <w:b/>
          <w:bCs/>
          <w:lang w:val="en-GB"/>
        </w:rPr>
        <w:t xml:space="preserve"> (</w:t>
      </w:r>
      <w:r w:rsidRPr="00795822">
        <w:rPr>
          <w:b/>
          <w:bCs/>
          <w:lang w:val="en-GB"/>
        </w:rPr>
        <w:t>detailed methodology, descriptive statistics, preliminary results</w:t>
      </w:r>
      <w:r w:rsidR="00132BF8" w:rsidRPr="00795822">
        <w:rPr>
          <w:b/>
          <w:bCs/>
          <w:lang w:val="en-GB"/>
        </w:rPr>
        <w:t xml:space="preserve">): </w:t>
      </w:r>
    </w:p>
    <w:p w14:paraId="5DB75419" w14:textId="12D531DF" w:rsidR="00BB2DB5" w:rsidRPr="00795822" w:rsidRDefault="00132BF8" w:rsidP="00215EC4">
      <w:pPr>
        <w:jc w:val="both"/>
        <w:rPr>
          <w:color w:val="0000FF"/>
          <w:u w:val="single"/>
          <w:lang w:val="en-GB"/>
        </w:rPr>
      </w:pPr>
      <w:r w:rsidRPr="00795822">
        <w:rPr>
          <w:lang w:val="en-GB"/>
        </w:rPr>
        <w:t xml:space="preserve">Horn, D., Kiss, H. J., &amp; Lénárd, T. (2020). Economic Preferences in the Classroom – Research Documentation. </w:t>
      </w:r>
      <w:r w:rsidRPr="00795822">
        <w:rPr>
          <w:i/>
          <w:iCs/>
          <w:lang w:val="en-GB"/>
        </w:rPr>
        <w:t>SSRN Electronic Journal</w:t>
      </w:r>
      <w:r w:rsidRPr="00795822">
        <w:rPr>
          <w:lang w:val="en-GB"/>
        </w:rPr>
        <w:t xml:space="preserve">. </w:t>
      </w:r>
      <w:hyperlink r:id="rId6" w:history="1">
        <w:r w:rsidRPr="00795822">
          <w:rPr>
            <w:rStyle w:val="Hiperhivatkozs"/>
            <w:lang w:val="en-GB"/>
          </w:rPr>
          <w:t>https://doi.org/10.2139/ssrn.3615292</w:t>
        </w:r>
      </w:hyperlink>
      <w:bookmarkEnd w:id="1"/>
    </w:p>
    <w:p w14:paraId="7E87990B" w14:textId="17E6F72E" w:rsidR="004A3DE5" w:rsidRPr="00795822" w:rsidRDefault="004A3DE5" w:rsidP="00215EC4">
      <w:pPr>
        <w:jc w:val="both"/>
        <w:rPr>
          <w:lang w:val="en-GB"/>
        </w:rPr>
      </w:pPr>
    </w:p>
    <w:p w14:paraId="12A557E9" w14:textId="11266725" w:rsidR="00BB2DB5" w:rsidRPr="00795822" w:rsidRDefault="00BB2DB5" w:rsidP="00215EC4">
      <w:pPr>
        <w:jc w:val="both"/>
        <w:rPr>
          <w:b/>
          <w:bCs/>
          <w:lang w:val="en-GB"/>
        </w:rPr>
      </w:pPr>
      <w:bookmarkStart w:id="2" w:name="_Hlk44695718"/>
      <w:r w:rsidRPr="00795822">
        <w:rPr>
          <w:b/>
          <w:bCs/>
          <w:lang w:val="en-GB"/>
        </w:rPr>
        <w:t>Literature:</w:t>
      </w:r>
    </w:p>
    <w:p w14:paraId="4DD517A9" w14:textId="77777777" w:rsidR="00795822" w:rsidRPr="00795822" w:rsidRDefault="00795822" w:rsidP="00215EC4">
      <w:pPr>
        <w:jc w:val="both"/>
        <w:rPr>
          <w:lang w:val="en-GB"/>
        </w:rPr>
      </w:pPr>
      <w:r w:rsidRPr="00795822">
        <w:rPr>
          <w:lang w:val="en-GB"/>
        </w:rPr>
        <w:t xml:space="preserve">Crosetto, P., &amp; Filippin, A. (2013). The “bomb” risk elicitation task. </w:t>
      </w:r>
      <w:r w:rsidRPr="00795822">
        <w:rPr>
          <w:i/>
          <w:iCs/>
          <w:lang w:val="en-GB"/>
        </w:rPr>
        <w:t>Journal of Risk and Uncertainty</w:t>
      </w:r>
      <w:r w:rsidRPr="00795822">
        <w:rPr>
          <w:lang w:val="en-GB"/>
        </w:rPr>
        <w:t xml:space="preserve">, </w:t>
      </w:r>
      <w:r w:rsidRPr="00795822">
        <w:rPr>
          <w:i/>
          <w:iCs/>
          <w:lang w:val="en-GB"/>
        </w:rPr>
        <w:t>47</w:t>
      </w:r>
      <w:r w:rsidRPr="00795822">
        <w:rPr>
          <w:lang w:val="en-GB"/>
        </w:rPr>
        <w:t xml:space="preserve">(1), 31–65. </w:t>
      </w:r>
      <w:hyperlink r:id="rId7" w:history="1">
        <w:r w:rsidRPr="00795822">
          <w:rPr>
            <w:rStyle w:val="Hiperhivatkozs"/>
            <w:lang w:val="en-GB"/>
          </w:rPr>
          <w:t>https://doi.org/10.1007/s11166-013-9170-z</w:t>
        </w:r>
      </w:hyperlink>
    </w:p>
    <w:p w14:paraId="42112946" w14:textId="77777777" w:rsidR="00795822" w:rsidRPr="00795822" w:rsidRDefault="00795822" w:rsidP="00215EC4">
      <w:pPr>
        <w:jc w:val="both"/>
        <w:rPr>
          <w:lang w:val="en-GB"/>
        </w:rPr>
      </w:pPr>
      <w:r w:rsidRPr="00795822">
        <w:rPr>
          <w:lang w:val="en-GB"/>
        </w:rPr>
        <w:t xml:space="preserve">Falk, A., Becker, A., Dohmen, T., Enke, B., Huffman, D., &amp; Sunde, U. (2018). Global Evidence on Economic Preferences. </w:t>
      </w:r>
      <w:r w:rsidRPr="00795822">
        <w:rPr>
          <w:i/>
          <w:iCs/>
          <w:lang w:val="en-GB"/>
        </w:rPr>
        <w:t>The Quarterly Journal of Economics</w:t>
      </w:r>
      <w:r w:rsidRPr="00795822">
        <w:rPr>
          <w:lang w:val="en-GB"/>
        </w:rPr>
        <w:t xml:space="preserve">, </w:t>
      </w:r>
      <w:r w:rsidRPr="00795822">
        <w:rPr>
          <w:i/>
          <w:iCs/>
          <w:lang w:val="en-GB"/>
        </w:rPr>
        <w:t>133</w:t>
      </w:r>
      <w:r w:rsidRPr="00795822">
        <w:rPr>
          <w:lang w:val="en-GB"/>
        </w:rPr>
        <w:t xml:space="preserve">(4), 1645–1692. </w:t>
      </w:r>
      <w:hyperlink r:id="rId8" w:history="1">
        <w:r w:rsidRPr="00795822">
          <w:rPr>
            <w:rStyle w:val="Hiperhivatkozs"/>
            <w:lang w:val="en-GB"/>
          </w:rPr>
          <w:t>https://doi.org/10.1093/qje/qjy013</w:t>
        </w:r>
      </w:hyperlink>
    </w:p>
    <w:p w14:paraId="657BC321" w14:textId="77777777" w:rsidR="00795822" w:rsidRPr="00795822" w:rsidRDefault="00795822" w:rsidP="00215EC4">
      <w:pPr>
        <w:jc w:val="both"/>
        <w:rPr>
          <w:lang w:val="en-GB"/>
        </w:rPr>
      </w:pPr>
      <w:r w:rsidRPr="00795822">
        <w:rPr>
          <w:lang w:val="en-GB"/>
        </w:rPr>
        <w:t xml:space="preserve">Laibson, D. (1997). Golden Eggs and Hyperbolic Discounting. </w:t>
      </w:r>
      <w:r w:rsidRPr="00795822">
        <w:rPr>
          <w:i/>
          <w:iCs/>
          <w:lang w:val="en-GB"/>
        </w:rPr>
        <w:t>The Quarterly Journal of Economics</w:t>
      </w:r>
      <w:r w:rsidRPr="00795822">
        <w:rPr>
          <w:lang w:val="en-GB"/>
        </w:rPr>
        <w:t xml:space="preserve">, </w:t>
      </w:r>
      <w:r w:rsidRPr="00795822">
        <w:rPr>
          <w:i/>
          <w:iCs/>
          <w:lang w:val="en-GB"/>
        </w:rPr>
        <w:t>112</w:t>
      </w:r>
      <w:r w:rsidRPr="00795822">
        <w:rPr>
          <w:lang w:val="en-GB"/>
        </w:rPr>
        <w:t xml:space="preserve">(2), 443–478. </w:t>
      </w:r>
      <w:hyperlink r:id="rId9" w:history="1">
        <w:r w:rsidRPr="00795822">
          <w:rPr>
            <w:rStyle w:val="Hiperhivatkozs"/>
            <w:lang w:val="en-GB"/>
          </w:rPr>
          <w:t>https://doi.org/10.1162/003355397555253</w:t>
        </w:r>
      </w:hyperlink>
    </w:p>
    <w:p w14:paraId="17CB858D" w14:textId="77777777" w:rsidR="00795822" w:rsidRPr="00795822" w:rsidRDefault="00795822" w:rsidP="00215EC4">
      <w:pPr>
        <w:jc w:val="both"/>
        <w:rPr>
          <w:lang w:val="en-GB"/>
        </w:rPr>
      </w:pPr>
      <w:r w:rsidRPr="00795822">
        <w:rPr>
          <w:lang w:val="en-GB"/>
        </w:rPr>
        <w:t xml:space="preserve">Niederle, M., &amp; Vesterlund, L. (2007). Do Women Shy Away From Competition? Do Men Compete Too Much? </w:t>
      </w:r>
      <w:r w:rsidRPr="00795822">
        <w:rPr>
          <w:i/>
          <w:iCs/>
          <w:lang w:val="en-GB"/>
        </w:rPr>
        <w:t>The Quarterly Journal of Economics</w:t>
      </w:r>
      <w:r w:rsidRPr="00795822">
        <w:rPr>
          <w:lang w:val="en-GB"/>
        </w:rPr>
        <w:t xml:space="preserve">, </w:t>
      </w:r>
      <w:r w:rsidRPr="00795822">
        <w:rPr>
          <w:i/>
          <w:iCs/>
          <w:lang w:val="en-GB"/>
        </w:rPr>
        <w:t>122</w:t>
      </w:r>
      <w:r w:rsidRPr="00795822">
        <w:rPr>
          <w:lang w:val="en-GB"/>
        </w:rPr>
        <w:t xml:space="preserve">(3), 1067–1101. </w:t>
      </w:r>
      <w:hyperlink r:id="rId10" w:history="1">
        <w:r w:rsidRPr="00795822">
          <w:rPr>
            <w:rStyle w:val="Hiperhivatkozs"/>
            <w:lang w:val="en-GB"/>
          </w:rPr>
          <w:t>https://doi.org/10.1162/qjec.122.3.1067</w:t>
        </w:r>
      </w:hyperlink>
    </w:p>
    <w:bookmarkEnd w:id="2"/>
    <w:p w14:paraId="094FA546" w14:textId="77777777" w:rsidR="00BB2DB5" w:rsidRPr="00795822" w:rsidRDefault="00BB2DB5" w:rsidP="00215EC4">
      <w:pPr>
        <w:jc w:val="both"/>
        <w:rPr>
          <w:lang w:val="en-GB"/>
        </w:rPr>
      </w:pPr>
    </w:p>
    <w:sectPr w:rsidR="00BB2DB5" w:rsidRPr="00795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93BDD"/>
    <w:multiLevelType w:val="hybridMultilevel"/>
    <w:tmpl w:val="30629232"/>
    <w:lvl w:ilvl="0" w:tplc="9048A8A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wMDExNrY0MDI2NTdR0lEKTi0uzszPAykwqgUAkwKynCwAAAA="/>
  </w:docVars>
  <w:rsids>
    <w:rsidRoot w:val="000638AC"/>
    <w:rsid w:val="000638AC"/>
    <w:rsid w:val="00132BF8"/>
    <w:rsid w:val="00215EC4"/>
    <w:rsid w:val="00241FC9"/>
    <w:rsid w:val="004A3DE5"/>
    <w:rsid w:val="005F4E61"/>
    <w:rsid w:val="00795822"/>
    <w:rsid w:val="00A9353A"/>
    <w:rsid w:val="00AD7CD0"/>
    <w:rsid w:val="00BB2DB5"/>
    <w:rsid w:val="00CF3F54"/>
    <w:rsid w:val="00D23FD2"/>
    <w:rsid w:val="00D655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6D5B"/>
  <w15:chartTrackingRefBased/>
  <w15:docId w15:val="{B6C89255-1678-4DD1-A5B0-EF7649B2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32BF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32BF8"/>
    <w:rPr>
      <w:color w:val="0000FF"/>
      <w:u w:val="single"/>
    </w:rPr>
  </w:style>
  <w:style w:type="paragraph" w:customStyle="1" w:styleId="basictext">
    <w:name w:val="basic text"/>
    <w:basedOn w:val="Norml"/>
    <w:qFormat/>
    <w:rsid w:val="00132BF8"/>
    <w:pPr>
      <w:spacing w:after="0" w:line="480" w:lineRule="auto"/>
      <w:ind w:firstLine="709"/>
      <w:jc w:val="both"/>
    </w:pPr>
    <w:rPr>
      <w:rFonts w:ascii="Times New Roman" w:hAnsi="Times New Roman" w:cs="Times New Roman"/>
      <w:sz w:val="24"/>
      <w:szCs w:val="24"/>
      <w:lang w:val="en-GB"/>
    </w:rPr>
  </w:style>
  <w:style w:type="paragraph" w:styleId="Listaszerbekezds">
    <w:name w:val="List Paragraph"/>
    <w:basedOn w:val="Norml"/>
    <w:uiPriority w:val="34"/>
    <w:qFormat/>
    <w:rsid w:val="005F4E61"/>
    <w:pPr>
      <w:ind w:left="720"/>
      <w:contextualSpacing/>
    </w:pPr>
  </w:style>
  <w:style w:type="character" w:customStyle="1" w:styleId="UnresolvedMention">
    <w:name w:val="Unresolved Mention"/>
    <w:basedOn w:val="Bekezdsalapbettpusa"/>
    <w:uiPriority w:val="99"/>
    <w:semiHidden/>
    <w:unhideWhenUsed/>
    <w:rsid w:val="00795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167">
      <w:bodyDiv w:val="1"/>
      <w:marLeft w:val="0"/>
      <w:marRight w:val="0"/>
      <w:marTop w:val="0"/>
      <w:marBottom w:val="0"/>
      <w:divBdr>
        <w:top w:val="none" w:sz="0" w:space="0" w:color="auto"/>
        <w:left w:val="none" w:sz="0" w:space="0" w:color="auto"/>
        <w:bottom w:val="none" w:sz="0" w:space="0" w:color="auto"/>
        <w:right w:val="none" w:sz="0" w:space="0" w:color="auto"/>
      </w:divBdr>
      <w:divsChild>
        <w:div w:id="878788179">
          <w:marLeft w:val="480"/>
          <w:marRight w:val="0"/>
          <w:marTop w:val="0"/>
          <w:marBottom w:val="0"/>
          <w:divBdr>
            <w:top w:val="none" w:sz="0" w:space="0" w:color="auto"/>
            <w:left w:val="none" w:sz="0" w:space="0" w:color="auto"/>
            <w:bottom w:val="none" w:sz="0" w:space="0" w:color="auto"/>
            <w:right w:val="none" w:sz="0" w:space="0" w:color="auto"/>
          </w:divBdr>
          <w:divsChild>
            <w:div w:id="2672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8183">
      <w:bodyDiv w:val="1"/>
      <w:marLeft w:val="0"/>
      <w:marRight w:val="0"/>
      <w:marTop w:val="0"/>
      <w:marBottom w:val="0"/>
      <w:divBdr>
        <w:top w:val="none" w:sz="0" w:space="0" w:color="auto"/>
        <w:left w:val="none" w:sz="0" w:space="0" w:color="auto"/>
        <w:bottom w:val="none" w:sz="0" w:space="0" w:color="auto"/>
        <w:right w:val="none" w:sz="0" w:space="0" w:color="auto"/>
      </w:divBdr>
      <w:divsChild>
        <w:div w:id="814300795">
          <w:marLeft w:val="480"/>
          <w:marRight w:val="0"/>
          <w:marTop w:val="0"/>
          <w:marBottom w:val="0"/>
          <w:divBdr>
            <w:top w:val="none" w:sz="0" w:space="0" w:color="auto"/>
            <w:left w:val="none" w:sz="0" w:space="0" w:color="auto"/>
            <w:bottom w:val="none" w:sz="0" w:space="0" w:color="auto"/>
            <w:right w:val="none" w:sz="0" w:space="0" w:color="auto"/>
          </w:divBdr>
          <w:divsChild>
            <w:div w:id="1045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81187">
      <w:bodyDiv w:val="1"/>
      <w:marLeft w:val="0"/>
      <w:marRight w:val="0"/>
      <w:marTop w:val="0"/>
      <w:marBottom w:val="0"/>
      <w:divBdr>
        <w:top w:val="none" w:sz="0" w:space="0" w:color="auto"/>
        <w:left w:val="none" w:sz="0" w:space="0" w:color="auto"/>
        <w:bottom w:val="none" w:sz="0" w:space="0" w:color="auto"/>
        <w:right w:val="none" w:sz="0" w:space="0" w:color="auto"/>
      </w:divBdr>
      <w:divsChild>
        <w:div w:id="1586257527">
          <w:marLeft w:val="480"/>
          <w:marRight w:val="0"/>
          <w:marTop w:val="0"/>
          <w:marBottom w:val="0"/>
          <w:divBdr>
            <w:top w:val="none" w:sz="0" w:space="0" w:color="auto"/>
            <w:left w:val="none" w:sz="0" w:space="0" w:color="auto"/>
            <w:bottom w:val="none" w:sz="0" w:space="0" w:color="auto"/>
            <w:right w:val="none" w:sz="0" w:space="0" w:color="auto"/>
          </w:divBdr>
          <w:divsChild>
            <w:div w:id="5409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3816">
      <w:bodyDiv w:val="1"/>
      <w:marLeft w:val="0"/>
      <w:marRight w:val="0"/>
      <w:marTop w:val="0"/>
      <w:marBottom w:val="0"/>
      <w:divBdr>
        <w:top w:val="none" w:sz="0" w:space="0" w:color="auto"/>
        <w:left w:val="none" w:sz="0" w:space="0" w:color="auto"/>
        <w:bottom w:val="none" w:sz="0" w:space="0" w:color="auto"/>
        <w:right w:val="none" w:sz="0" w:space="0" w:color="auto"/>
      </w:divBdr>
      <w:divsChild>
        <w:div w:id="1294823103">
          <w:marLeft w:val="480"/>
          <w:marRight w:val="0"/>
          <w:marTop w:val="0"/>
          <w:marBottom w:val="0"/>
          <w:divBdr>
            <w:top w:val="none" w:sz="0" w:space="0" w:color="auto"/>
            <w:left w:val="none" w:sz="0" w:space="0" w:color="auto"/>
            <w:bottom w:val="none" w:sz="0" w:space="0" w:color="auto"/>
            <w:right w:val="none" w:sz="0" w:space="0" w:color="auto"/>
          </w:divBdr>
          <w:divsChild>
            <w:div w:id="10363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970">
      <w:bodyDiv w:val="1"/>
      <w:marLeft w:val="0"/>
      <w:marRight w:val="0"/>
      <w:marTop w:val="0"/>
      <w:marBottom w:val="0"/>
      <w:divBdr>
        <w:top w:val="none" w:sz="0" w:space="0" w:color="auto"/>
        <w:left w:val="none" w:sz="0" w:space="0" w:color="auto"/>
        <w:bottom w:val="none" w:sz="0" w:space="0" w:color="auto"/>
        <w:right w:val="none" w:sz="0" w:space="0" w:color="auto"/>
      </w:divBdr>
      <w:divsChild>
        <w:div w:id="1373729312">
          <w:marLeft w:val="480"/>
          <w:marRight w:val="0"/>
          <w:marTop w:val="0"/>
          <w:marBottom w:val="0"/>
          <w:divBdr>
            <w:top w:val="none" w:sz="0" w:space="0" w:color="auto"/>
            <w:left w:val="none" w:sz="0" w:space="0" w:color="auto"/>
            <w:bottom w:val="none" w:sz="0" w:space="0" w:color="auto"/>
            <w:right w:val="none" w:sz="0" w:space="0" w:color="auto"/>
          </w:divBdr>
          <w:divsChild>
            <w:div w:id="5589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8372">
      <w:bodyDiv w:val="1"/>
      <w:marLeft w:val="0"/>
      <w:marRight w:val="0"/>
      <w:marTop w:val="0"/>
      <w:marBottom w:val="0"/>
      <w:divBdr>
        <w:top w:val="none" w:sz="0" w:space="0" w:color="auto"/>
        <w:left w:val="none" w:sz="0" w:space="0" w:color="auto"/>
        <w:bottom w:val="none" w:sz="0" w:space="0" w:color="auto"/>
        <w:right w:val="none" w:sz="0" w:space="0" w:color="auto"/>
      </w:divBdr>
      <w:divsChild>
        <w:div w:id="282881124">
          <w:marLeft w:val="480"/>
          <w:marRight w:val="0"/>
          <w:marTop w:val="0"/>
          <w:marBottom w:val="0"/>
          <w:divBdr>
            <w:top w:val="none" w:sz="0" w:space="0" w:color="auto"/>
            <w:left w:val="none" w:sz="0" w:space="0" w:color="auto"/>
            <w:bottom w:val="none" w:sz="0" w:space="0" w:color="auto"/>
            <w:right w:val="none" w:sz="0" w:space="0" w:color="auto"/>
          </w:divBdr>
          <w:divsChild>
            <w:div w:id="13591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qje/qjy013" TargetMode="External"/><Relationship Id="rId3" Type="http://schemas.openxmlformats.org/officeDocument/2006/relationships/settings" Target="settings.xml"/><Relationship Id="rId7" Type="http://schemas.openxmlformats.org/officeDocument/2006/relationships/hyperlink" Target="https://doi.org/10.1007/s11166-013-9170-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139/ssrn.3615292" TargetMode="External"/><Relationship Id="rId11" Type="http://schemas.openxmlformats.org/officeDocument/2006/relationships/fontTable" Target="fontTable.xml"/><Relationship Id="rId5" Type="http://schemas.openxmlformats.org/officeDocument/2006/relationships/hyperlink" Target="https://www.mtakti.hu/kapcsolat/altalanos-tajekoztato-a-kiserletekrol/" TargetMode="External"/><Relationship Id="rId10" Type="http://schemas.openxmlformats.org/officeDocument/2006/relationships/hyperlink" Target="https://doi.org/10.1162/qjec.122.3.1067" TargetMode="External"/><Relationship Id="rId4" Type="http://schemas.openxmlformats.org/officeDocument/2006/relationships/webSettings" Target="webSettings.xml"/><Relationship Id="rId9" Type="http://schemas.openxmlformats.org/officeDocument/2006/relationships/hyperlink" Target="https://doi.org/10.1162/00335539755525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3927</Characters>
  <Application>Microsoft Office Word</Application>
  <DocSecurity>0</DocSecurity>
  <Lines>32</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Tünde Lénárd</dc:creator>
  <cp:keywords/>
  <dc:description/>
  <cp:lastModifiedBy>Tir Melinda</cp:lastModifiedBy>
  <cp:revision>2</cp:revision>
  <dcterms:created xsi:type="dcterms:W3CDTF">2020-07-10T09:42:00Z</dcterms:created>
  <dcterms:modified xsi:type="dcterms:W3CDTF">2020-07-10T09:42:00Z</dcterms:modified>
</cp:coreProperties>
</file>